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420"/>
      </w:pPr>
      <w:r>
        <w:rPr>
          <w:rFonts w:ascii="微软雅黑" w:hAnsi="微软雅黑" w:eastAsia="微软雅黑" w:cs="微软雅黑"/>
          <w:color w:val="4D5150"/>
          <w:sz w:val="14"/>
          <w:szCs w:val="14"/>
        </w:rPr>
        <w:t>数字通讯从未如此接近 Mag One A9D+可增强您企业通信的竞争优势，提高员工工作效率和整体利润。 A9D+ 融合了最新的模拟和数字技术，经济高效、且易于使用，向使用者提供双向对...</w:t>
      </w:r>
    </w:p>
    <w:p/>
    <w:p/>
    <w:p/>
    <w:tbl>
      <w:tblPr>
        <w:tblW w:w="4984" w:type="dxa"/>
        <w:jc w:val="center"/>
        <w:tblInd w:w="16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Header/>
          <w:jc w:val="center"/>
        </w:trPr>
        <w:tc>
          <w:tcPr>
            <w:tcW w:w="4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4D5150"/>
                <w:sz w:val="16"/>
                <w:szCs w:val="16"/>
              </w:rPr>
            </w:pPr>
            <w:r>
              <w:rPr>
                <w:rFonts w:ascii="Arial" w:hAnsi="Arial" w:eastAsia="微软雅黑" w:cs="Arial"/>
                <w:b/>
                <w:color w:val="FFFFFF"/>
                <w:kern w:val="0"/>
                <w:sz w:val="19"/>
                <w:szCs w:val="19"/>
                <w:bdr w:val="none" w:color="auto" w:sz="0" w:space="0"/>
                <w:shd w:val="clear" w:fill="FF8C00"/>
                <w:lang w:val="en-US" w:eastAsia="zh-CN" w:bidi="ar"/>
              </w:rPr>
              <w:t>常规指标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频率范围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403-470Mhz(UHF)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音频输出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2000mW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信道容量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16个信道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信道间隔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12.5/25KHz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外形尺寸（高x宽x厚）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带薄型锂电池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带高容量锂电池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115.6x57.6x40.5毫米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115.6x57.6x45.1毫米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带薄型锂电池的重量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带高容量锂电池重量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244克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293克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5/5/90使用周期时的电池平均寿命（省电模式）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带薄型1100mAH锂电池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带高容量2400mAH锂电池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8.5小时</w:t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电源电压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7.2伏直流电</w:t>
            </w: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vanish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  <w:i/>
    </w:rPr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2017-09-15T05:31:51Z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